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44E64" w14:textId="299250A5" w:rsidR="00DD4D53" w:rsidRPr="00904D36" w:rsidRDefault="00DD4D53" w:rsidP="00DD4D53">
      <w:pPr>
        <w:spacing w:before="240" w:after="240"/>
        <w:jc w:val="center"/>
        <w:rPr>
          <w:rFonts w:ascii="Calibri" w:eastAsia="Calibri" w:hAnsi="Calibri" w:cs="Calibri"/>
          <w:b/>
          <w:color w:val="000000"/>
          <w:lang w:eastAsia="pt-BR"/>
        </w:rPr>
      </w:pPr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EDITAL DE CHAMAMENTO PÚBLICO </w:t>
      </w:r>
      <w:r w:rsidR="00DB3AB2" w:rsidRPr="00DB3A9A">
        <w:rPr>
          <w:rFonts w:eastAsia="Calibri" w:cs="Calibri"/>
          <w:b/>
          <w:color w:val="000000"/>
          <w:lang w:eastAsia="pt-BR"/>
        </w:rPr>
        <w:t>Nº</w:t>
      </w:r>
      <w:r w:rsidR="00DB3AB2">
        <w:rPr>
          <w:rFonts w:eastAsia="Calibri" w:cs="Calibri"/>
          <w:b/>
          <w:color w:val="000000"/>
          <w:lang w:eastAsia="pt-BR"/>
        </w:rPr>
        <w:t xml:space="preserve"> 010/</w:t>
      </w:r>
      <w:r w:rsidR="00DB3AB2" w:rsidRPr="00DB3A9A">
        <w:rPr>
          <w:rFonts w:eastAsia="Calibri" w:cs="Calibri"/>
          <w:b/>
          <w:color w:val="000000"/>
          <w:lang w:eastAsia="pt-BR"/>
        </w:rPr>
        <w:t xml:space="preserve">2026 </w:t>
      </w:r>
      <w:r>
        <w:rPr>
          <w:rFonts w:ascii="Calibri" w:eastAsia="Calibri" w:hAnsi="Calibri" w:cs="Calibri"/>
          <w:b/>
          <w:color w:val="000000"/>
          <w:lang w:eastAsia="pt-BR"/>
        </w:rPr>
        <w:t>–</w:t>
      </w:r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 </w:t>
      </w:r>
      <w:r w:rsidRPr="00BB43A7">
        <w:rPr>
          <w:rFonts w:ascii="Calibri" w:eastAsia="Calibri" w:hAnsi="Calibri" w:cs="Calibri"/>
          <w:b/>
          <w:lang w:eastAsia="pt-BR"/>
        </w:rPr>
        <w:t xml:space="preserve">PREMIAÇÃO TRAJETÓRIAS ARTÍSTICASA CULTURAIS  </w:t>
      </w:r>
    </w:p>
    <w:p w14:paraId="2DD02BDE" w14:textId="77777777" w:rsidR="00DD4D53" w:rsidRPr="00904D36" w:rsidRDefault="00DD4D53" w:rsidP="00DD4D53">
      <w:pPr>
        <w:spacing w:before="240" w:after="240"/>
        <w:jc w:val="center"/>
        <w:rPr>
          <w:rFonts w:ascii="Calibri" w:eastAsia="Calibri" w:hAnsi="Calibri" w:cs="Calibri"/>
          <w:lang w:eastAsia="pt-BR"/>
        </w:rPr>
      </w:pPr>
      <w:r w:rsidRPr="7BE60EC0">
        <w:rPr>
          <w:rFonts w:ascii="Calibri" w:eastAsia="Calibri" w:hAnsi="Calibri" w:cs="Calibri"/>
          <w:b/>
          <w:bCs/>
          <w:color w:val="000000"/>
          <w:lang w:eastAsia="pt-BR"/>
        </w:rPr>
        <w:t xml:space="preserve"> PREMIAÇÃO PARA AGENTES CULTURAIS COM RECURSOS DA POLÍTICA NACIONAL ALDIR BLANC DE FOMENTO À CULTURA (LEI Nº 14.399/2022)</w:t>
      </w:r>
    </w:p>
    <w:p w14:paraId="6F0D4CC5" w14:textId="2461B6C6" w:rsidR="00CA32B4" w:rsidRPr="00A85D8E" w:rsidRDefault="00CA32B4" w:rsidP="00CA32B4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3B025B27">
        <w:rPr>
          <w:rFonts w:ascii="Calibri" w:eastAsia="Arial" w:hAnsi="Calibri" w:cs="Calibri"/>
          <w:b/>
          <w:bCs/>
          <w:sz w:val="24"/>
          <w:szCs w:val="24"/>
        </w:rPr>
        <w:t>ANEXO IV</w:t>
      </w:r>
      <w:r w:rsidR="00812AF2"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proofErr w:type="gramStart"/>
      <w:r w:rsidR="00812AF2">
        <w:rPr>
          <w:rFonts w:ascii="Calibri" w:eastAsia="Arial" w:hAnsi="Calibri" w:cs="Calibri"/>
          <w:b/>
          <w:bCs/>
          <w:sz w:val="24"/>
          <w:szCs w:val="24"/>
        </w:rPr>
        <w:t xml:space="preserve">-  </w:t>
      </w:r>
      <w:r w:rsidRPr="00A85D8E">
        <w:rPr>
          <w:rFonts w:ascii="Calibri" w:eastAsia="Arial" w:hAnsi="Calibri" w:cs="Calibri"/>
          <w:b/>
          <w:bCs/>
          <w:sz w:val="24"/>
          <w:szCs w:val="24"/>
        </w:rPr>
        <w:t>CRITÉRIOS</w:t>
      </w:r>
      <w:proofErr w:type="gramEnd"/>
      <w:r w:rsidRPr="00A85D8E">
        <w:rPr>
          <w:rFonts w:ascii="Calibri" w:eastAsia="Arial" w:hAnsi="Calibri" w:cs="Calibri"/>
          <w:b/>
          <w:bCs/>
          <w:sz w:val="24"/>
          <w:szCs w:val="24"/>
        </w:rPr>
        <w:t xml:space="preserve"> DE SELEÇÃO E BÔNUS DE PONTUAÇÃO</w:t>
      </w:r>
    </w:p>
    <w:p w14:paraId="6C470A77" w14:textId="77777777" w:rsidR="00CA32B4" w:rsidRPr="00A85D8E" w:rsidRDefault="00CA32B4" w:rsidP="00CA32B4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sz w:val="24"/>
          <w:szCs w:val="24"/>
        </w:rPr>
        <w:t xml:space="preserve"> </w:t>
      </w:r>
    </w:p>
    <w:p w14:paraId="038C85EA" w14:textId="77777777" w:rsidR="00CA32B4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14:paraId="40FA14F6" w14:textId="77777777" w:rsidR="00CA32B4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pleno de atendimento do critério - 10 pontos; </w:t>
      </w:r>
    </w:p>
    <w:p w14:paraId="5502E89F" w14:textId="77777777" w:rsidR="00CA32B4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satisfatório de atendimento do critério – 6 pontos; </w:t>
      </w:r>
    </w:p>
    <w:p w14:paraId="6BA311FF" w14:textId="77777777" w:rsidR="00CA32B4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insatisfatório de atendimento do critério – 2 pontos; </w:t>
      </w:r>
    </w:p>
    <w:p w14:paraId="69F6559A" w14:textId="77777777" w:rsidR="00CA32B4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>• Não atendimento do critério – 0 pontos.</w:t>
      </w:r>
    </w:p>
    <w:p w14:paraId="25A57632" w14:textId="3BFF6FA1" w:rsidR="00CA32B4" w:rsidRPr="00A85D8E" w:rsidRDefault="00CA32B4" w:rsidP="00CA32B4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</w:p>
    <w:tbl>
      <w:tblPr>
        <w:tblW w:w="9062" w:type="dxa"/>
        <w:tblLayout w:type="fixed"/>
        <w:tblLook w:val="0600" w:firstRow="0" w:lastRow="0" w:firstColumn="0" w:lastColumn="0" w:noHBand="1" w:noVBand="1"/>
      </w:tblPr>
      <w:tblGrid>
        <w:gridCol w:w="2612"/>
        <w:gridCol w:w="2880"/>
        <w:gridCol w:w="3570"/>
      </w:tblGrid>
      <w:tr w:rsidR="00CA32B4" w:rsidRPr="00A85D8E" w14:paraId="33EAFFAE" w14:textId="77777777" w:rsidTr="004B34FD">
        <w:trPr>
          <w:trHeight w:val="420"/>
        </w:trPr>
        <w:tc>
          <w:tcPr>
            <w:tcW w:w="906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41DE0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CRITÉRIOS OBRIGATÓRIOS</w:t>
            </w:r>
          </w:p>
        </w:tc>
      </w:tr>
      <w:tr w:rsidR="00CA32B4" w:rsidRPr="00A85D8E" w14:paraId="4BE8880E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F7FDD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Critério</w:t>
            </w:r>
          </w:p>
        </w:tc>
        <w:tc>
          <w:tcPr>
            <w:tcW w:w="288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93054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Critério</w:t>
            </w:r>
          </w:p>
        </w:tc>
        <w:tc>
          <w:tcPr>
            <w:tcW w:w="357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E7B3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Máxima</w:t>
            </w:r>
          </w:p>
        </w:tc>
      </w:tr>
      <w:tr w:rsidR="00CA32B4" w:rsidRPr="00A85D8E" w14:paraId="5DD27045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6C9C" w14:textId="77777777" w:rsidR="00CA32B4" w:rsidRPr="00A85D8E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B693F" w14:textId="4D3E9B12" w:rsidR="00CA32B4" w:rsidRPr="00A85D8E" w:rsidRDefault="00CA32B4" w:rsidP="004B34FD">
            <w:pPr>
              <w:spacing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Reconhecida atuação na </w:t>
            </w:r>
            <w:r w:rsidR="00A71D08">
              <w:rPr>
                <w:rFonts w:ascii="Calibri" w:eastAsia="Arial" w:hAnsi="Calibri" w:cs="Calibri"/>
                <w:sz w:val="24"/>
                <w:szCs w:val="24"/>
              </w:rPr>
              <w:t>sua área artística</w:t>
            </w: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cultural 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18827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72811A14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00CA32B4" w:rsidRPr="00A85D8E" w14:paraId="59D45E82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9DC68" w14:textId="77777777" w:rsidR="00CA32B4" w:rsidRPr="00A85D8E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79F97DB6" w14:textId="77777777" w:rsidR="00CA32B4" w:rsidRPr="00A85D8E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99BD" w14:textId="77777777" w:rsidR="00CA32B4" w:rsidRPr="00A85D8E" w:rsidRDefault="00CA32B4" w:rsidP="004B34FD">
            <w:pPr>
              <w:shd w:val="clear" w:color="auto" w:fill="FFFFFF" w:themeFill="background1"/>
              <w:spacing w:after="0"/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Integração e inovação do agente cultural com outras esferas do conhecimento e da vida social. Ex.: integração entre cultura e educação, cultura e saúde, cultura e meio ambiente, etc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ED3C9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8DF7DB1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70E5C790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A25DE77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00CA32B4" w:rsidRPr="00A85D8E" w14:paraId="1B52E933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A94EA" w14:textId="77777777" w:rsidR="00CA32B4" w:rsidRPr="00A85D8E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396FC03B" w14:textId="77777777" w:rsidR="00CA32B4" w:rsidRPr="00A85D8E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6E81" w14:textId="77777777" w:rsidR="00CA32B4" w:rsidRPr="00A85D8E" w:rsidRDefault="00CA32B4" w:rsidP="004B34FD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Contribuição a populações em situação de vulnerabilidade social, tais como idosos, crianças, pessoas negras, etc)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200E4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7BF8DCE0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153E8A78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00CA32B4" w:rsidRPr="00A85D8E" w14:paraId="0195C346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90791" w14:textId="77777777" w:rsidR="00CA32B4" w:rsidRPr="00A85D8E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79342ECC" w14:textId="77777777" w:rsidR="00CA32B4" w:rsidRPr="00A85D8E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4423E" w14:textId="77777777" w:rsidR="00CA32B4" w:rsidRPr="00A85D8E" w:rsidRDefault="00CA32B4" w:rsidP="004B34FD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Contribuição do agente cultural à(s) comunidade(s) em que atua, tais como realização </w:t>
            </w:r>
            <w:r w:rsidRPr="00A85D8E">
              <w:rPr>
                <w:rFonts w:ascii="Calibri" w:eastAsia="Arial" w:hAnsi="Calibri" w:cs="Calibri"/>
                <w:sz w:val="24"/>
                <w:szCs w:val="24"/>
              </w:rPr>
              <w:lastRenderedPageBreak/>
              <w:t>de ações dentro da comunidade, contratação de profissionais da comunidade, etc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E215B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lastRenderedPageBreak/>
              <w:t xml:space="preserve"> </w:t>
            </w:r>
          </w:p>
          <w:p w14:paraId="3772A249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43C898AB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00CA32B4" w:rsidRPr="00A85D8E" w14:paraId="0EE02C3C" w14:textId="77777777" w:rsidTr="004B34FD">
        <w:trPr>
          <w:trHeight w:val="420"/>
        </w:trPr>
        <w:tc>
          <w:tcPr>
            <w:tcW w:w="5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31D70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TOTAL: 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D2B39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D4D53">
              <w:rPr>
                <w:rFonts w:ascii="Calibri" w:eastAsia="Arial" w:hAnsi="Calibri" w:cs="Calibri"/>
                <w:sz w:val="24"/>
                <w:szCs w:val="24"/>
              </w:rPr>
              <w:t>40 PONTOS</w:t>
            </w:r>
          </w:p>
        </w:tc>
      </w:tr>
    </w:tbl>
    <w:p w14:paraId="490DBD75" w14:textId="77777777" w:rsidR="00CA32B4" w:rsidRPr="00A85D8E" w:rsidRDefault="00CA32B4" w:rsidP="00CA32B4">
      <w:pPr>
        <w:spacing w:after="0" w:line="276" w:lineRule="auto"/>
        <w:jc w:val="center"/>
        <w:rPr>
          <w:rFonts w:ascii="Calibri" w:eastAsia="Arial" w:hAnsi="Calibri" w:cs="Calibri"/>
          <w:sz w:val="24"/>
          <w:szCs w:val="24"/>
        </w:rPr>
      </w:pPr>
    </w:p>
    <w:p w14:paraId="2F2A0C2B" w14:textId="77777777" w:rsidR="00CA32B4" w:rsidRPr="00A85D8E" w:rsidRDefault="00CA32B4" w:rsidP="00CA32B4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sz w:val="24"/>
          <w:szCs w:val="24"/>
        </w:rPr>
        <w:t>Além da pontuação acima, o agente cultural pode receber bônus de pontuação, ou seja, uma pontuação extra, conforme critérios abaixo especificados:</w:t>
      </w:r>
      <w:r w:rsidRPr="00A85D8E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2C213A9A" w14:textId="77777777" w:rsidR="00CA32B4" w:rsidRPr="00A85D8E" w:rsidRDefault="00CA32B4" w:rsidP="00CA32B4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8974" w:type="dxa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3495"/>
      </w:tblGrid>
      <w:tr w:rsidR="00CA32B4" w:rsidRPr="00A85D8E" w14:paraId="3EC1E58A" w14:textId="77777777" w:rsidTr="004B34FD">
        <w:trPr>
          <w:trHeight w:val="420"/>
        </w:trPr>
        <w:tc>
          <w:tcPr>
            <w:tcW w:w="897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1F573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BÔNUS PARA AGENTES CULTURAIS PESSOAS FÍSICAS</w:t>
            </w:r>
          </w:p>
        </w:tc>
      </w:tr>
      <w:tr w:rsidR="00CA32B4" w:rsidRPr="00A85D8E" w14:paraId="711B4CFF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FB1C8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068C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Ponto Extra</w:t>
            </w:r>
          </w:p>
        </w:tc>
        <w:tc>
          <w:tcPr>
            <w:tcW w:w="34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BE7E0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</w:t>
            </w:r>
          </w:p>
        </w:tc>
      </w:tr>
      <w:tr w:rsidR="00CA32B4" w:rsidRPr="00A85D8E" w14:paraId="718754B5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5BD8F" w14:textId="0D49039C" w:rsidR="00CA32B4" w:rsidRPr="00A85D8E" w:rsidRDefault="00914032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5F895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Agente cultural do gênero feminino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399A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40B4C21B" w14:textId="2C024625" w:rsidR="00CA32B4" w:rsidRPr="00A85D8E" w:rsidRDefault="00DD4D53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1</w:t>
            </w:r>
          </w:p>
        </w:tc>
      </w:tr>
      <w:tr w:rsidR="00CA32B4" w:rsidRPr="00A85D8E" w14:paraId="2EB5AB3C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987DB" w14:textId="6622F1CB" w:rsidR="00CA32B4" w:rsidRPr="00A85D8E" w:rsidRDefault="00914032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DD02D" w14:textId="699A2484" w:rsidR="00CA32B4" w:rsidRPr="00A85D8E" w:rsidRDefault="00DD4D53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Agente Cultural </w:t>
            </w:r>
            <w:r>
              <w:t xml:space="preserve">LGBTQIAPN+ 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80C51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575D3B38" w14:textId="6412558D" w:rsidR="00CA32B4" w:rsidRPr="00A85D8E" w:rsidRDefault="00DD4D53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1</w:t>
            </w:r>
          </w:p>
        </w:tc>
      </w:tr>
      <w:tr w:rsidR="00CA32B4" w:rsidRPr="00A85D8E" w14:paraId="6A3BE5F4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69DD2" w14:textId="33362D80" w:rsidR="00CA32B4" w:rsidRPr="00A85D8E" w:rsidRDefault="00914032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15343" w14:textId="0EF60936" w:rsidR="00CA32B4" w:rsidRPr="00A85D8E" w:rsidRDefault="00DD4D53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3AB2">
              <w:rPr>
                <w:rFonts w:ascii="Arial" w:hAnsi="Arial" w:cs="Arial"/>
                <w:sz w:val="24"/>
                <w:szCs w:val="24"/>
              </w:rPr>
              <w:t>Agentes culturais de áreas rurais e áreas periféricas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4003E" w14:textId="77777777" w:rsidR="00CA32B4" w:rsidRPr="00A85D8E" w:rsidRDefault="00CA32B4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029A0845" w14:textId="66726388" w:rsidR="00CA32B4" w:rsidRPr="00A85D8E" w:rsidRDefault="00DD4D53" w:rsidP="004B34FD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2</w:t>
            </w:r>
          </w:p>
        </w:tc>
      </w:tr>
      <w:tr w:rsidR="003007BE" w:rsidRPr="00A85D8E" w14:paraId="04E8A11F" w14:textId="77777777" w:rsidTr="00253129">
        <w:trPr>
          <w:trHeight w:val="420"/>
        </w:trPr>
        <w:tc>
          <w:tcPr>
            <w:tcW w:w="897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F98E0" w14:textId="4A9B930A" w:rsidR="003007BE" w:rsidRPr="003007BE" w:rsidRDefault="003007BE" w:rsidP="003007BE">
            <w:pPr>
              <w:pStyle w:val="PargrafodaLista"/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007B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BÔNUS</w:t>
            </w:r>
            <w:r w:rsidRPr="003007BE">
              <w:rPr>
                <w:b/>
                <w:bCs/>
              </w:rPr>
              <w:t xml:space="preserve"> NÃO ACUMULATIVOS </w:t>
            </w:r>
          </w:p>
        </w:tc>
      </w:tr>
    </w:tbl>
    <w:p w14:paraId="7D7B861D" w14:textId="77777777" w:rsidR="00914032" w:rsidRDefault="00914032" w:rsidP="00CA32B4">
      <w:pPr>
        <w:spacing w:after="0" w:line="276" w:lineRule="auto"/>
        <w:jc w:val="center"/>
        <w:rPr>
          <w:rFonts w:ascii="Calibri" w:eastAsia="Arial" w:hAnsi="Calibri" w:cs="Calibri"/>
          <w:sz w:val="24"/>
          <w:szCs w:val="24"/>
        </w:rPr>
      </w:pPr>
    </w:p>
    <w:p w14:paraId="6B79CA45" w14:textId="03F5B972" w:rsidR="00CA32B4" w:rsidRPr="00A85D8E" w:rsidRDefault="00914032" w:rsidP="00CA32B4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4A1D74">
        <w:rPr>
          <w:rFonts w:ascii="Calibri" w:eastAsia="Arial" w:hAnsi="Calibri" w:cs="Calibri"/>
          <w:sz w:val="24"/>
          <w:szCs w:val="24"/>
        </w:rPr>
        <w:t xml:space="preserve">São considerados área rurais e periféricas </w:t>
      </w:r>
      <w:proofErr w:type="gramStart"/>
      <w:r w:rsidRPr="004A1D74">
        <w:rPr>
          <w:rFonts w:ascii="Calibri" w:eastAsia="Arial" w:hAnsi="Calibri" w:cs="Calibri"/>
          <w:sz w:val="24"/>
          <w:szCs w:val="24"/>
        </w:rPr>
        <w:t xml:space="preserve">moradores </w:t>
      </w:r>
      <w:r w:rsidR="00CA32B4" w:rsidRPr="004A1D74">
        <w:rPr>
          <w:rFonts w:ascii="Calibri" w:eastAsia="Arial" w:hAnsi="Calibri" w:cs="Calibri"/>
          <w:sz w:val="24"/>
          <w:szCs w:val="24"/>
        </w:rPr>
        <w:t xml:space="preserve"> </w:t>
      </w:r>
      <w:r w:rsidRPr="004A1D74">
        <w:rPr>
          <w:rFonts w:ascii="Calibri" w:eastAsia="Arial" w:hAnsi="Calibri" w:cs="Calibri"/>
          <w:sz w:val="24"/>
          <w:szCs w:val="24"/>
        </w:rPr>
        <w:t>dos</w:t>
      </w:r>
      <w:proofErr w:type="gramEnd"/>
      <w:r w:rsidRPr="004A1D74">
        <w:rPr>
          <w:rFonts w:ascii="Calibri" w:eastAsia="Arial" w:hAnsi="Calibri" w:cs="Calibri"/>
          <w:sz w:val="24"/>
          <w:szCs w:val="24"/>
        </w:rPr>
        <w:t xml:space="preserve"> bairros: </w:t>
      </w:r>
      <w:r w:rsidR="004A1D74">
        <w:t>Vila da Conquista, Cavalli, Pau a pique, Terra da Uva, Abadia, Cestarolli e Luiz Gonzaga.</w:t>
      </w:r>
    </w:p>
    <w:p w14:paraId="62D9DB8E" w14:textId="77777777" w:rsidR="00DD4D53" w:rsidRDefault="00DD4D53" w:rsidP="00DD4D53">
      <w:pPr>
        <w:pStyle w:val="PargrafodaLista"/>
        <w:spacing w:after="0" w:line="276" w:lineRule="auto"/>
        <w:jc w:val="both"/>
      </w:pPr>
    </w:p>
    <w:p w14:paraId="75F6DA07" w14:textId="77777777" w:rsidR="00DD4D53" w:rsidRDefault="00DD4D53" w:rsidP="00DD4D53">
      <w:pPr>
        <w:pStyle w:val="PargrafodaLista"/>
        <w:spacing w:after="0" w:line="276" w:lineRule="auto"/>
        <w:jc w:val="both"/>
        <w:rPr>
          <w:sz w:val="24"/>
          <w:szCs w:val="24"/>
        </w:rPr>
      </w:pPr>
      <w:r w:rsidRPr="00DD4D53">
        <w:rPr>
          <w:sz w:val="24"/>
          <w:szCs w:val="24"/>
        </w:rPr>
        <w:t xml:space="preserve">1. A pontuação final será a soma do total das notas: critérios obrigatórios e pontuação bônus. </w:t>
      </w:r>
    </w:p>
    <w:p w14:paraId="050C0263" w14:textId="77777777" w:rsidR="00DD4D53" w:rsidRDefault="00DD4D53" w:rsidP="00DD4D53">
      <w:pPr>
        <w:pStyle w:val="PargrafodaLista"/>
        <w:spacing w:after="0" w:line="276" w:lineRule="auto"/>
        <w:jc w:val="both"/>
        <w:rPr>
          <w:sz w:val="24"/>
          <w:szCs w:val="24"/>
        </w:rPr>
      </w:pPr>
      <w:r w:rsidRPr="00DD4D53">
        <w:rPr>
          <w:sz w:val="24"/>
          <w:szCs w:val="24"/>
        </w:rPr>
        <w:t xml:space="preserve">2. Os critérios obrigatórios são eliminatórios de modo que o agente cultural que receber pontuação 0 em algum dos critérios será desclassificado do Edital. </w:t>
      </w:r>
    </w:p>
    <w:p w14:paraId="5C36B967" w14:textId="07AE291F" w:rsidR="00DD4D53" w:rsidRDefault="00DD4D53" w:rsidP="00DD4D53">
      <w:pPr>
        <w:pStyle w:val="PargrafodaLista"/>
        <w:spacing w:after="0" w:line="276" w:lineRule="auto"/>
        <w:jc w:val="both"/>
        <w:rPr>
          <w:sz w:val="24"/>
          <w:szCs w:val="24"/>
        </w:rPr>
      </w:pPr>
      <w:r w:rsidRPr="00DD4D53">
        <w:rPr>
          <w:sz w:val="24"/>
          <w:szCs w:val="24"/>
        </w:rPr>
        <w:t>3. Os bônus de pontuação não são cumulativos e não constituem critérios obrigatórios de modo que a pontuação 0 em algum dos pontos bônus não desclassifica o agente cultural</w:t>
      </w:r>
      <w:r>
        <w:rPr>
          <w:sz w:val="24"/>
          <w:szCs w:val="24"/>
        </w:rPr>
        <w:t>.</w:t>
      </w:r>
    </w:p>
    <w:p w14:paraId="3946ADC7" w14:textId="1B9D9C78" w:rsidR="00DD4D53" w:rsidRDefault="00DD4D53" w:rsidP="00DD4D53">
      <w:pPr>
        <w:pStyle w:val="PargrafodaLista"/>
        <w:spacing w:after="0" w:line="276" w:lineRule="auto"/>
        <w:jc w:val="both"/>
        <w:rPr>
          <w:sz w:val="24"/>
          <w:szCs w:val="24"/>
        </w:rPr>
      </w:pPr>
      <w:r w:rsidRPr="00DD4D53">
        <w:rPr>
          <w:sz w:val="24"/>
          <w:szCs w:val="24"/>
        </w:rPr>
        <w:lastRenderedPageBreak/>
        <w:t>4. Em caso de empate, serão utilizados para fins de classificação as maiores notas nos critérios de acordo com a ordem abaixo definida: A, B, C,</w:t>
      </w:r>
      <w:r w:rsidR="00A71D08">
        <w:rPr>
          <w:sz w:val="24"/>
          <w:szCs w:val="24"/>
        </w:rPr>
        <w:t xml:space="preserve"> </w:t>
      </w:r>
      <w:proofErr w:type="gramStart"/>
      <w:r w:rsidR="00A71D08">
        <w:rPr>
          <w:sz w:val="24"/>
          <w:szCs w:val="24"/>
        </w:rPr>
        <w:t xml:space="preserve">e </w:t>
      </w:r>
      <w:r w:rsidRPr="00DD4D53">
        <w:rPr>
          <w:sz w:val="24"/>
          <w:szCs w:val="24"/>
        </w:rPr>
        <w:t xml:space="preserve"> D</w:t>
      </w:r>
      <w:proofErr w:type="gramEnd"/>
      <w:r w:rsidRPr="00DD4D53">
        <w:rPr>
          <w:sz w:val="24"/>
          <w:szCs w:val="24"/>
        </w:rPr>
        <w:t xml:space="preserve">  respectivamente. </w:t>
      </w:r>
    </w:p>
    <w:p w14:paraId="13F70709" w14:textId="6F584466" w:rsidR="00DD4D53" w:rsidRDefault="00DD4D53" w:rsidP="00DD4D53">
      <w:pPr>
        <w:pStyle w:val="PargrafodaLista"/>
        <w:spacing w:after="0" w:line="276" w:lineRule="auto"/>
        <w:jc w:val="both"/>
        <w:rPr>
          <w:sz w:val="24"/>
          <w:szCs w:val="24"/>
        </w:rPr>
      </w:pPr>
      <w:r w:rsidRPr="00DD4D53">
        <w:rPr>
          <w:sz w:val="24"/>
          <w:szCs w:val="24"/>
        </w:rPr>
        <w:t xml:space="preserve">5. Caso nenhum dos critérios acima elencados seja capaz de promover o desempate, </w:t>
      </w:r>
      <w:proofErr w:type="gramStart"/>
      <w:r w:rsidR="009B5151">
        <w:rPr>
          <w:sz w:val="24"/>
          <w:szCs w:val="24"/>
        </w:rPr>
        <w:t>P</w:t>
      </w:r>
      <w:r w:rsidR="009B5151">
        <w:t>ersistindo</w:t>
      </w:r>
      <w:proofErr w:type="gramEnd"/>
      <w:r w:rsidR="009B5151">
        <w:t xml:space="preserve"> o empate após a aplicação do item 4, será classificado o agente cultural de maior idade.</w:t>
      </w:r>
    </w:p>
    <w:p w14:paraId="4E86C564" w14:textId="3E905E2E" w:rsidR="00DD4D53" w:rsidRPr="009B5151" w:rsidRDefault="00DD4D53" w:rsidP="00DD4D53">
      <w:pPr>
        <w:pStyle w:val="PargrafodaLista"/>
        <w:spacing w:after="0" w:line="276" w:lineRule="auto"/>
        <w:jc w:val="both"/>
        <w:rPr>
          <w:sz w:val="24"/>
          <w:szCs w:val="24"/>
        </w:rPr>
      </w:pPr>
      <w:r w:rsidRPr="009B5151">
        <w:rPr>
          <w:sz w:val="24"/>
          <w:szCs w:val="24"/>
        </w:rPr>
        <w:t xml:space="preserve"> 6. </w:t>
      </w:r>
      <w:r w:rsidR="009B5151">
        <w:t>Serão considerados aptos os agentes culturais que obtiverem nota final, incluída a pontuação bônus, igual ou superior a 25 (vinte e cinco) pontos</w:t>
      </w:r>
    </w:p>
    <w:p w14:paraId="377516F5" w14:textId="77777777" w:rsidR="00DD4D53" w:rsidRDefault="00DD4D53" w:rsidP="00DD4D53">
      <w:pPr>
        <w:pStyle w:val="PargrafodaLista"/>
        <w:spacing w:after="0" w:line="276" w:lineRule="auto"/>
        <w:jc w:val="both"/>
        <w:rPr>
          <w:sz w:val="24"/>
          <w:szCs w:val="24"/>
        </w:rPr>
      </w:pPr>
      <w:r w:rsidRPr="00DD4D53">
        <w:rPr>
          <w:sz w:val="24"/>
          <w:szCs w:val="24"/>
        </w:rPr>
        <w:t xml:space="preserve">7. Serão desclassificados os agentes culturais que: </w:t>
      </w:r>
    </w:p>
    <w:p w14:paraId="75188914" w14:textId="77777777" w:rsidR="00DD4D53" w:rsidRDefault="00DD4D53" w:rsidP="00DD4D53">
      <w:pPr>
        <w:pStyle w:val="PargrafodaLista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D4D53">
        <w:rPr>
          <w:sz w:val="24"/>
          <w:szCs w:val="24"/>
        </w:rPr>
        <w:t xml:space="preserve">7.1 - </w:t>
      </w:r>
      <w:proofErr w:type="gramStart"/>
      <w:r w:rsidRPr="00DD4D53">
        <w:rPr>
          <w:sz w:val="24"/>
          <w:szCs w:val="24"/>
        </w:rPr>
        <w:t>receberam</w:t>
      </w:r>
      <w:proofErr w:type="gramEnd"/>
      <w:r w:rsidRPr="00DD4D53">
        <w:rPr>
          <w:sz w:val="24"/>
          <w:szCs w:val="24"/>
        </w:rPr>
        <w:t xml:space="preserve"> nota 0 em qualquer dos critérios obrigatórios; </w:t>
      </w:r>
    </w:p>
    <w:p w14:paraId="2554E40C" w14:textId="77777777" w:rsidR="00DD4D53" w:rsidRDefault="00DD4D53" w:rsidP="00DD4D53">
      <w:pPr>
        <w:pStyle w:val="PargrafodaLista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D4D53">
        <w:rPr>
          <w:sz w:val="24"/>
          <w:szCs w:val="24"/>
        </w:rPr>
        <w:t xml:space="preserve">7.2 - </w:t>
      </w:r>
      <w:r>
        <w:rPr>
          <w:sz w:val="24"/>
          <w:szCs w:val="24"/>
        </w:rPr>
        <w:tab/>
      </w:r>
      <w:proofErr w:type="gramStart"/>
      <w:r w:rsidRPr="00DD4D53">
        <w:rPr>
          <w:sz w:val="24"/>
          <w:szCs w:val="24"/>
        </w:rPr>
        <w:t>apresentem</w:t>
      </w:r>
      <w:proofErr w:type="gramEnd"/>
      <w:r w:rsidRPr="00DD4D53">
        <w:rPr>
          <w:sz w:val="24"/>
          <w:szCs w:val="24"/>
        </w:rPr>
        <w:t xml:space="preserve"> quaisquer formas de preconceito de origem, raça, </w:t>
      </w:r>
      <w:r>
        <w:rPr>
          <w:sz w:val="24"/>
          <w:szCs w:val="24"/>
        </w:rPr>
        <w:tab/>
      </w:r>
      <w:r w:rsidRPr="00DD4D53">
        <w:rPr>
          <w:sz w:val="24"/>
          <w:szCs w:val="24"/>
        </w:rPr>
        <w:t xml:space="preserve">etnia, gênero, cor, idade ou outras formas de discriminação, com </w:t>
      </w:r>
      <w:r>
        <w:rPr>
          <w:sz w:val="24"/>
          <w:szCs w:val="24"/>
        </w:rPr>
        <w:tab/>
      </w:r>
      <w:r w:rsidRPr="00DD4D53">
        <w:rPr>
          <w:sz w:val="24"/>
          <w:szCs w:val="24"/>
        </w:rPr>
        <w:t xml:space="preserve">fundamento no disposto no inciso IV do caput do art. 3º da Constituição, </w:t>
      </w:r>
      <w:r>
        <w:rPr>
          <w:sz w:val="24"/>
          <w:szCs w:val="24"/>
        </w:rPr>
        <w:tab/>
      </w:r>
      <w:r w:rsidRPr="00DD4D53">
        <w:rPr>
          <w:sz w:val="24"/>
          <w:szCs w:val="24"/>
        </w:rPr>
        <w:t xml:space="preserve">garantidos o contraditório e a ampla defesa. </w:t>
      </w:r>
    </w:p>
    <w:p w14:paraId="5404F7B7" w14:textId="5F2F5245" w:rsidR="00DD4D53" w:rsidRDefault="00DD4D53" w:rsidP="00DD4D53">
      <w:pPr>
        <w:pStyle w:val="PargrafodaLista"/>
        <w:spacing w:after="0" w:line="276" w:lineRule="auto"/>
        <w:jc w:val="both"/>
        <w:rPr>
          <w:rFonts w:eastAsia="Arial" w:cs="Calibri"/>
          <w:color w:val="000000" w:themeColor="text1"/>
          <w:sz w:val="24"/>
          <w:szCs w:val="24"/>
        </w:rPr>
      </w:pPr>
      <w:r w:rsidRPr="00DD4D53">
        <w:rPr>
          <w:sz w:val="24"/>
          <w:szCs w:val="24"/>
        </w:rPr>
        <w:t>8. A falsidade de informações acarretará desclassificação, podendo ensejar, ainda, a aplicação de sanções administrativas ou criminais.</w:t>
      </w:r>
      <w:r w:rsidRPr="00DD4D53">
        <w:rPr>
          <w:rFonts w:eastAsia="Arial" w:cs="Calibri"/>
          <w:color w:val="000000" w:themeColor="text1"/>
          <w:sz w:val="24"/>
          <w:szCs w:val="24"/>
        </w:rPr>
        <w:t xml:space="preserve"> </w:t>
      </w:r>
    </w:p>
    <w:p w14:paraId="69151206" w14:textId="77777777" w:rsidR="00CA32B4" w:rsidRPr="00DD4D53" w:rsidRDefault="00CA32B4" w:rsidP="00CA32B4">
      <w:pPr>
        <w:rPr>
          <w:rFonts w:cs="Calibri"/>
          <w:sz w:val="24"/>
          <w:szCs w:val="24"/>
        </w:rPr>
      </w:pPr>
    </w:p>
    <w:p w14:paraId="12CB4723" w14:textId="77777777" w:rsidR="008D205C" w:rsidRPr="00DD4D53" w:rsidRDefault="008D205C">
      <w:pPr>
        <w:rPr>
          <w:sz w:val="24"/>
          <w:szCs w:val="24"/>
        </w:rPr>
      </w:pPr>
    </w:p>
    <w:sectPr w:rsidR="008D205C" w:rsidRPr="00DD4D53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D8FAB" w14:textId="77777777" w:rsidR="00095CD8" w:rsidRDefault="00095CD8" w:rsidP="008D205C">
      <w:pPr>
        <w:spacing w:after="0" w:line="240" w:lineRule="auto"/>
      </w:pPr>
      <w:r>
        <w:separator/>
      </w:r>
    </w:p>
  </w:endnote>
  <w:endnote w:type="continuationSeparator" w:id="0">
    <w:p w14:paraId="25B134B9" w14:textId="77777777" w:rsidR="00095CD8" w:rsidRDefault="00095CD8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4DF515F" w:rsidR="008D205C" w:rsidRDefault="00DD4D53" w:rsidP="00A23FF9">
    <w:pPr>
      <w:pStyle w:val="Rodap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E07235" wp14:editId="469B8189">
          <wp:simplePos x="0" y="0"/>
          <wp:positionH relativeFrom="column">
            <wp:posOffset>1967865</wp:posOffset>
          </wp:positionH>
          <wp:positionV relativeFrom="paragraph">
            <wp:posOffset>-88265</wp:posOffset>
          </wp:positionV>
          <wp:extent cx="1676400" cy="431800"/>
          <wp:effectExtent l="0" t="0" r="0" b="6350"/>
          <wp:wrapTight wrapText="bothSides">
            <wp:wrapPolygon edited="0">
              <wp:start x="0" y="0"/>
              <wp:lineTo x="0" y="20965"/>
              <wp:lineTo x="21355" y="20965"/>
              <wp:lineTo x="2135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C43AB25" wp14:editId="6369E9AF">
          <wp:simplePos x="0" y="0"/>
          <wp:positionH relativeFrom="column">
            <wp:posOffset>4086225</wp:posOffset>
          </wp:positionH>
          <wp:positionV relativeFrom="paragraph">
            <wp:posOffset>-180975</wp:posOffset>
          </wp:positionV>
          <wp:extent cx="692785" cy="527685"/>
          <wp:effectExtent l="0" t="0" r="0" b="5715"/>
          <wp:wrapTight wrapText="bothSides">
            <wp:wrapPolygon edited="0">
              <wp:start x="0" y="0"/>
              <wp:lineTo x="0" y="21054"/>
              <wp:lineTo x="20788" y="21054"/>
              <wp:lineTo x="20788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78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DD140" w14:textId="77777777" w:rsidR="00095CD8" w:rsidRDefault="00095CD8" w:rsidP="008D205C">
      <w:pPr>
        <w:spacing w:after="0" w:line="240" w:lineRule="auto"/>
      </w:pPr>
      <w:r>
        <w:separator/>
      </w:r>
    </w:p>
  </w:footnote>
  <w:footnote w:type="continuationSeparator" w:id="0">
    <w:p w14:paraId="7AFAA50E" w14:textId="77777777" w:rsidR="00095CD8" w:rsidRDefault="00095CD8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C711066" w:rsidR="008D205C" w:rsidRDefault="00DD4D53" w:rsidP="008D205C">
    <w:pPr>
      <w:pStyle w:val="Cabealho"/>
      <w:jc w:val="center"/>
    </w:pPr>
    <w:r>
      <w:rPr>
        <w:noProof/>
      </w:rPr>
      <w:drawing>
        <wp:inline distT="0" distB="0" distL="0" distR="0" wp14:anchorId="788EFD15" wp14:editId="75FBCEF8">
          <wp:extent cx="4669439" cy="661035"/>
          <wp:effectExtent l="0" t="0" r="0" b="0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3562430" name="Picture 17535624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1605" cy="6613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00E59"/>
    <w:multiLevelType w:val="hybridMultilevel"/>
    <w:tmpl w:val="FE8855FA"/>
    <w:lvl w:ilvl="0" w:tplc="EB2CAD90">
      <w:start w:val="4"/>
      <w:numFmt w:val="decimalZero"/>
      <w:lvlText w:val="%1"/>
      <w:lvlJc w:val="left"/>
      <w:pPr>
        <w:ind w:left="720" w:hanging="360"/>
      </w:pPr>
      <w:rPr>
        <w:rFonts w:eastAsia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508B6"/>
    <w:multiLevelType w:val="hybridMultilevel"/>
    <w:tmpl w:val="AFC8213A"/>
    <w:lvl w:ilvl="0" w:tplc="49DE16F8">
      <w:start w:val="2"/>
      <w:numFmt w:val="decimalZero"/>
      <w:lvlText w:val="%1"/>
      <w:lvlJc w:val="left"/>
      <w:pPr>
        <w:ind w:left="720" w:hanging="360"/>
      </w:pPr>
      <w:rPr>
        <w:rFonts w:eastAsia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418413">
    <w:abstractNumId w:val="0"/>
  </w:num>
  <w:num w:numId="2" w16cid:durableId="478156851">
    <w:abstractNumId w:val="3"/>
  </w:num>
  <w:num w:numId="3" w16cid:durableId="519512808">
    <w:abstractNumId w:val="1"/>
  </w:num>
  <w:num w:numId="4" w16cid:durableId="1819180299">
    <w:abstractNumId w:val="2"/>
  </w:num>
  <w:num w:numId="5" w16cid:durableId="1839077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95CD8"/>
    <w:rsid w:val="003007BE"/>
    <w:rsid w:val="003D236A"/>
    <w:rsid w:val="003E360E"/>
    <w:rsid w:val="0042073A"/>
    <w:rsid w:val="004A1D74"/>
    <w:rsid w:val="005A599B"/>
    <w:rsid w:val="00812AF2"/>
    <w:rsid w:val="00842A40"/>
    <w:rsid w:val="00862B83"/>
    <w:rsid w:val="008D205C"/>
    <w:rsid w:val="00905791"/>
    <w:rsid w:val="00914032"/>
    <w:rsid w:val="009B5151"/>
    <w:rsid w:val="00A23FF9"/>
    <w:rsid w:val="00A6295A"/>
    <w:rsid w:val="00A71D08"/>
    <w:rsid w:val="00A81D5B"/>
    <w:rsid w:val="00AA108D"/>
    <w:rsid w:val="00B83FAF"/>
    <w:rsid w:val="00BE1130"/>
    <w:rsid w:val="00C00A26"/>
    <w:rsid w:val="00C1150E"/>
    <w:rsid w:val="00CA32B4"/>
    <w:rsid w:val="00CE2DD9"/>
    <w:rsid w:val="00DB3AB2"/>
    <w:rsid w:val="00DD4D53"/>
    <w:rsid w:val="00DF4135"/>
    <w:rsid w:val="00E43D44"/>
    <w:rsid w:val="00EC443D"/>
    <w:rsid w:val="00ED538D"/>
    <w:rsid w:val="00ED7305"/>
    <w:rsid w:val="00F311E4"/>
    <w:rsid w:val="00FF7D49"/>
    <w:rsid w:val="1DE45689"/>
    <w:rsid w:val="3B02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2B4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CA32B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CA3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CA32B4"/>
  </w:style>
  <w:style w:type="character" w:customStyle="1" w:styleId="eop">
    <w:name w:val="eop"/>
    <w:basedOn w:val="Fontepargpadro"/>
    <w:rsid w:val="00CA32B4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D53"/>
    <w:rPr>
      <w:rFonts w:ascii="Segoe UI" w:hAnsi="Segoe UI" w:cs="Segoe UI"/>
      <w:kern w:val="0"/>
      <w:sz w:val="18"/>
      <w:szCs w:val="18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D53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D538D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06DEA8-E2A1-4E45-9D77-3424280B9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9A0D5A-A36A-4C04-AAA5-AD29736B2F7C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3.xml><?xml version="1.0" encoding="utf-8"?>
<ds:datastoreItem xmlns:ds="http://schemas.openxmlformats.org/officeDocument/2006/customXml" ds:itemID="{97809424-F736-4D76-9DA8-D28BDBACF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16</cp:revision>
  <dcterms:created xsi:type="dcterms:W3CDTF">2025-11-25T18:00:00Z</dcterms:created>
  <dcterms:modified xsi:type="dcterms:W3CDTF">2026-11-03T17:49:00Z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