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E6D7D" w14:textId="09BB72C9" w:rsidR="009A5C21" w:rsidRDefault="003C33A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176BAE7F" w14:textId="6689D7EF" w:rsidR="00D75A62" w:rsidRDefault="003C33AF" w:rsidP="00D75A6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color w:val="FF0000"/>
          <w:sz w:val="24"/>
          <w:szCs w:val="24"/>
        </w:rPr>
      </w:pPr>
      <w:r>
        <w:rPr>
          <w:rFonts w:ascii="Calibri" w:eastAsia="Calibri" w:hAnsi="Calibri" w:cs="Calibri"/>
          <w:b/>
        </w:rPr>
        <w:t xml:space="preserve"> </w:t>
      </w:r>
      <w:r w:rsidR="00D75A62">
        <w:rPr>
          <w:rFonts w:ascii="Calibri" w:eastAsia="Calibri" w:hAnsi="Calibri" w:cs="Calibri"/>
          <w:b/>
          <w:sz w:val="24"/>
          <w:szCs w:val="24"/>
        </w:rPr>
        <w:t xml:space="preserve">CHAMAMENTO PÚBLICO </w:t>
      </w:r>
      <w:r w:rsidR="00711690" w:rsidRPr="009426FB">
        <w:rPr>
          <w:rFonts w:asciiTheme="minorHAnsi" w:eastAsia="Calibri" w:hAnsiTheme="minorHAnsi" w:cs="Calibri"/>
          <w:b/>
          <w:sz w:val="24"/>
          <w:szCs w:val="24"/>
        </w:rPr>
        <w:t>nº 009/2026</w:t>
      </w:r>
    </w:p>
    <w:p w14:paraId="19120AA4" w14:textId="77777777" w:rsidR="00D75A62" w:rsidRDefault="00D75A62" w:rsidP="00D75A6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REDE MUNICIPAL  DE PONTOS E PONTÕES DE CULTURA DE LOUVEIRA – SP </w:t>
      </w:r>
    </w:p>
    <w:p w14:paraId="642EFA83" w14:textId="77777777" w:rsidR="00D75A62" w:rsidRDefault="00D75A62" w:rsidP="00D75A6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794D519F" w14:textId="77777777" w:rsidR="00D75A62" w:rsidRDefault="00D75A62" w:rsidP="00D75A6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CULTURA VIVA DO TAMANHO DO BRASIL! </w:t>
      </w:r>
    </w:p>
    <w:p w14:paraId="26413F64" w14:textId="77777777" w:rsidR="00D75A62" w:rsidRDefault="00D75A62" w:rsidP="00D75A6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</w:p>
    <w:p w14:paraId="6489D054" w14:textId="77777777" w:rsidR="009A5C21" w:rsidRDefault="003C33AF">
      <w:pPr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ANEXO 01 - CATEGORIAS E COTAS</w:t>
      </w:r>
    </w:p>
    <w:p w14:paraId="160A114B" w14:textId="77777777" w:rsidR="009A5C21" w:rsidRDefault="009A5C21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highlight w:val="yellow"/>
        </w:rPr>
      </w:pPr>
    </w:p>
    <w:p w14:paraId="1B461781" w14:textId="77777777" w:rsidR="009A5C21" w:rsidRDefault="003C33AF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1. CATEGORIAS</w:t>
      </w:r>
    </w:p>
    <w:p w14:paraId="6B007E9C" w14:textId="77777777" w:rsidR="009A5C21" w:rsidRDefault="009A5C21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color w:val="FF0000"/>
        </w:rPr>
      </w:pPr>
    </w:p>
    <w:p w14:paraId="0D062335" w14:textId="77777777" w:rsidR="009A5C21" w:rsidRDefault="009A5C21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color w:val="FF0000"/>
        </w:rPr>
      </w:pPr>
    </w:p>
    <w:tbl>
      <w:tblPr>
        <w:tblStyle w:val="a1"/>
        <w:tblW w:w="139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4095"/>
        <w:gridCol w:w="4245"/>
        <w:gridCol w:w="5070"/>
      </w:tblGrid>
      <w:tr w:rsidR="009A5C21" w14:paraId="6E8952B3" w14:textId="77777777">
        <w:trPr>
          <w:cantSplit/>
        </w:trPr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815789" w14:textId="77777777" w:rsidR="009A5C21" w:rsidRDefault="009A5C21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07EDD9" w14:textId="77777777" w:rsidR="009A5C21" w:rsidRPr="00D75A62" w:rsidRDefault="003C33AF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00D75A62">
              <w:rPr>
                <w:rFonts w:ascii="Calibri" w:eastAsia="Calibri" w:hAnsi="Calibri" w:cs="Calibri"/>
                <w:b/>
                <w:color w:val="000000" w:themeColor="text1"/>
              </w:rPr>
              <w:t>NOME  E DESCRIÇÃO DA CATEGORIA</w:t>
            </w:r>
          </w:p>
        </w:tc>
        <w:tc>
          <w:tcPr>
            <w:tcW w:w="42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3C77D3" w14:textId="77777777" w:rsidR="009A5C21" w:rsidRPr="00D75A62" w:rsidRDefault="003C33AF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00D75A62">
              <w:rPr>
                <w:rFonts w:ascii="Calibri" w:eastAsia="Calibri" w:hAnsi="Calibri" w:cs="Calibri"/>
                <w:b/>
                <w:color w:val="000000" w:themeColor="text1"/>
              </w:rPr>
              <w:t>NÚMERO DE VAGAS PARA CATEGORIA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CD92E6" w14:textId="77777777" w:rsidR="009A5C21" w:rsidRPr="00D75A62" w:rsidRDefault="003C33AF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 w:themeColor="text1"/>
                <w:highlight w:val="yellow"/>
              </w:rPr>
            </w:pPr>
            <w:r w:rsidRPr="00D75A62">
              <w:rPr>
                <w:rFonts w:ascii="Calibri" w:eastAsia="Calibri" w:hAnsi="Calibri" w:cs="Calibri"/>
                <w:b/>
                <w:color w:val="000000" w:themeColor="text1"/>
              </w:rPr>
              <w:t>VALOR TOTAL DISPONÍVEL POR PROJETO SELECIONADO (R$)</w:t>
            </w:r>
          </w:p>
        </w:tc>
      </w:tr>
      <w:tr w:rsidR="009A5C21" w14:paraId="0D8C0CC5" w14:textId="77777777"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36925E" w14:textId="77777777" w:rsidR="009A5C21" w:rsidRPr="00D75A62" w:rsidRDefault="003C33AF">
            <w:pPr>
              <w:tabs>
                <w:tab w:val="center" w:pos="0"/>
              </w:tabs>
              <w:spacing w:after="120" w:line="240" w:lineRule="auto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D75A62">
              <w:rPr>
                <w:rFonts w:ascii="Calibri" w:eastAsia="Calibri" w:hAnsi="Calibri" w:cs="Calibri"/>
                <w:color w:val="000000" w:themeColor="text1"/>
              </w:rPr>
              <w:t>01</w:t>
            </w: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99E502" w14:textId="178D1D96" w:rsidR="009A5C21" w:rsidRDefault="00D75A62">
            <w:pPr>
              <w:tabs>
                <w:tab w:val="center" w:pos="0"/>
              </w:tabs>
              <w:spacing w:after="120" w:line="240" w:lineRule="auto"/>
              <w:jc w:val="both"/>
              <w:rPr>
                <w:rFonts w:ascii="Calibri" w:eastAsia="Calibri" w:hAnsi="Calibri" w:cs="Calibri"/>
                <w:b/>
                <w:shd w:val="clear" w:color="auto" w:fill="F4CCCC"/>
              </w:rPr>
            </w:pPr>
            <w:r w:rsidRPr="00920C03">
              <w:rPr>
                <w:rFonts w:eastAsia="Calibri"/>
                <w:color w:val="1A2420"/>
                <w:sz w:val="20"/>
                <w:szCs w:val="20"/>
              </w:rPr>
              <w:t>Pontos de Cultura</w:t>
            </w:r>
          </w:p>
        </w:tc>
        <w:tc>
          <w:tcPr>
            <w:tcW w:w="42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F354CB" w14:textId="6559A795" w:rsidR="009A5C21" w:rsidRDefault="00D75A62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hd w:val="clear" w:color="auto" w:fill="F4CCCC"/>
              </w:rPr>
            </w:pPr>
            <w:r w:rsidRPr="00920C03">
              <w:rPr>
                <w:rFonts w:eastAsia="Calibri"/>
                <w:color w:val="1A2420"/>
                <w:sz w:val="20"/>
                <w:szCs w:val="20"/>
              </w:rPr>
              <w:t>8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08CC23" w14:textId="1DF405B5" w:rsidR="009A5C21" w:rsidRDefault="00D75A62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highlight w:val="yellow"/>
              </w:rPr>
            </w:pPr>
            <w:r w:rsidRPr="00920C03">
              <w:rPr>
                <w:rFonts w:eastAsia="Calibri"/>
                <w:color w:val="1A2420"/>
                <w:sz w:val="20"/>
                <w:szCs w:val="20"/>
              </w:rPr>
              <w:t>R$ 14.000,00</w:t>
            </w:r>
          </w:p>
        </w:tc>
      </w:tr>
      <w:tr w:rsidR="009A5C21" w14:paraId="79281D24" w14:textId="77777777" w:rsidTr="00D75A62"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2A1EE" w14:textId="77777777" w:rsidR="009A5C21" w:rsidRPr="00D75A62" w:rsidRDefault="003C33AF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D75A62">
              <w:rPr>
                <w:rFonts w:ascii="Calibri" w:eastAsia="Calibri" w:hAnsi="Calibri" w:cs="Calibri"/>
                <w:color w:val="000000" w:themeColor="text1"/>
              </w:rPr>
              <w:t>02</w:t>
            </w: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9B026D" w14:textId="4D7FA709" w:rsidR="009A5C21" w:rsidRDefault="00D75A62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highlight w:val="yellow"/>
              </w:rPr>
            </w:pPr>
            <w:r w:rsidRPr="00920C03">
              <w:rPr>
                <w:rFonts w:eastAsia="Calibri"/>
                <w:color w:val="1A2420"/>
                <w:sz w:val="20"/>
                <w:szCs w:val="20"/>
              </w:rPr>
              <w:t>Pontões de Cultura</w:t>
            </w:r>
          </w:p>
        </w:tc>
        <w:tc>
          <w:tcPr>
            <w:tcW w:w="42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B8D6B4" w14:textId="1AF07DA0" w:rsidR="009A5C21" w:rsidRPr="00D75A62" w:rsidRDefault="00D75A62">
            <w:pPr>
              <w:widowControl w:val="0"/>
              <w:spacing w:line="240" w:lineRule="auto"/>
              <w:rPr>
                <w:rFonts w:ascii="Calibri" w:eastAsia="Calibri" w:hAnsi="Calibri" w:cs="Calibri"/>
                <w:bCs/>
                <w:highlight w:val="yellow"/>
              </w:rPr>
            </w:pPr>
            <w:r w:rsidRPr="00D75A62">
              <w:rPr>
                <w:rFonts w:ascii="Calibri" w:eastAsia="Calibri" w:hAnsi="Calibri" w:cs="Calibri"/>
                <w:bCs/>
              </w:rPr>
              <w:t>2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119FB2" w14:textId="74248E18" w:rsidR="009A5C21" w:rsidRDefault="00D75A62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highlight w:val="yellow"/>
              </w:rPr>
            </w:pPr>
            <w:r w:rsidRPr="00920C03">
              <w:rPr>
                <w:rFonts w:eastAsia="Calibri"/>
                <w:color w:val="1A2420"/>
                <w:sz w:val="20"/>
                <w:szCs w:val="20"/>
              </w:rPr>
              <w:t>R$ 15.226,75</w:t>
            </w:r>
          </w:p>
        </w:tc>
      </w:tr>
    </w:tbl>
    <w:p w14:paraId="1206C80F" w14:textId="52ACBD50" w:rsidR="009A5C21" w:rsidRDefault="00D75A62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color w:val="FF0000"/>
          <w:u w:val="single"/>
        </w:rPr>
      </w:pPr>
      <w:r>
        <w:t>* - Nos termos do art. 6º da Portaria MinC nº 206/2025, deverão ser premiados, no mínimo, 2 (duas) dos 10 (dez) projetos — correspondentes a, no mínimo, 30% — de entidades e coletivos com trajetória declarada e comprovadamente ligada às culturas populares e tradicionais. Este piso pode ser composto junto às vagas de cota, conforme o item 7.8 do Edital</w:t>
      </w:r>
    </w:p>
    <w:p w14:paraId="52B37111" w14:textId="77777777" w:rsidR="00D75A62" w:rsidRDefault="00D75A62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color w:val="FF0000"/>
          <w:u w:val="single"/>
        </w:rPr>
      </w:pPr>
    </w:p>
    <w:p w14:paraId="2935A0B2" w14:textId="77777777" w:rsidR="009A5C21" w:rsidRDefault="003C33AF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2. COTAS</w:t>
      </w:r>
    </w:p>
    <w:p w14:paraId="09629DD1" w14:textId="77777777" w:rsidR="009A5C21" w:rsidRDefault="009A5C21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color w:val="FF0000"/>
        </w:rPr>
      </w:pPr>
    </w:p>
    <w:tbl>
      <w:tblPr>
        <w:tblStyle w:val="a2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77"/>
        <w:gridCol w:w="6977"/>
      </w:tblGrid>
      <w:tr w:rsidR="009A5C21" w14:paraId="60EDEC99" w14:textId="77777777"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4D038A" w14:textId="3C3148F4" w:rsidR="009A5C21" w:rsidRDefault="009A5C2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8D89D7" w14:textId="77777777" w:rsidR="009A5C21" w:rsidRDefault="003C33AF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NÚMERO DE VAGAS MÍNIMAS</w:t>
            </w:r>
          </w:p>
        </w:tc>
      </w:tr>
      <w:tr w:rsidR="009A5C21" w14:paraId="455C08ED" w14:textId="77777777"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9A8E36" w14:textId="77777777" w:rsidR="009A5C21" w:rsidRDefault="003C33AF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pessoas negras (pretas ou pardas)</w:t>
            </w:r>
          </w:p>
        </w:tc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4E8549" w14:textId="28468FF5" w:rsidR="009A5C21" w:rsidRPr="00D75A62" w:rsidRDefault="00D75A62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D75A62"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="001576C8">
              <w:rPr>
                <w:rFonts w:ascii="Calibri" w:eastAsia="Calibri" w:hAnsi="Calibri" w:cs="Calibri"/>
                <w:color w:val="000000" w:themeColor="text1"/>
              </w:rPr>
              <w:t>2</w:t>
            </w:r>
            <w:r w:rsidRPr="00D75A62">
              <w:rPr>
                <w:rFonts w:ascii="Calibri" w:eastAsia="Calibri" w:hAnsi="Calibri" w:cs="Calibri"/>
                <w:color w:val="000000" w:themeColor="text1"/>
              </w:rPr>
              <w:t xml:space="preserve"> vagas </w:t>
            </w:r>
          </w:p>
        </w:tc>
      </w:tr>
      <w:tr w:rsidR="009A5C21" w14:paraId="57D89297" w14:textId="77777777"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CF49E8" w14:textId="77777777" w:rsidR="009A5C21" w:rsidRDefault="003C33AF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pessoas indígenas</w:t>
            </w:r>
          </w:p>
        </w:tc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533302" w14:textId="6F3C6460" w:rsidR="009A5C21" w:rsidRDefault="00D75A62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</w:rPr>
            </w:pPr>
            <w:r w:rsidRPr="00D75A62">
              <w:rPr>
                <w:rFonts w:ascii="Calibri" w:eastAsia="Calibri" w:hAnsi="Calibri" w:cs="Calibri"/>
                <w:color w:val="000000" w:themeColor="text1"/>
              </w:rPr>
              <w:t>01 vaga</w:t>
            </w:r>
          </w:p>
        </w:tc>
      </w:tr>
      <w:tr w:rsidR="009A5C21" w14:paraId="0C341E71" w14:textId="77777777"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7C93E8" w14:textId="77777777" w:rsidR="009A5C21" w:rsidRDefault="003C33AF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pessoas com deficiência</w:t>
            </w:r>
          </w:p>
        </w:tc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42F816" w14:textId="701AEBAE" w:rsidR="009A5C21" w:rsidRDefault="00D75A62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</w:rPr>
            </w:pPr>
            <w:r w:rsidRPr="00D75A62">
              <w:rPr>
                <w:rFonts w:ascii="Calibri" w:eastAsia="Calibri" w:hAnsi="Calibri" w:cs="Calibri"/>
                <w:color w:val="000000" w:themeColor="text1"/>
              </w:rPr>
              <w:t>01 vaga</w:t>
            </w:r>
          </w:p>
        </w:tc>
      </w:tr>
      <w:tr w:rsidR="00D75A62" w14:paraId="65FC2B17" w14:textId="77777777"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622648" w14:textId="23922755" w:rsidR="00D75A62" w:rsidRDefault="00D75A62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t>Premiações para Pontos de Cultura certificados (mínimo de 30% para Cultura Popular*)</w:t>
            </w:r>
          </w:p>
        </w:tc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6377EA" w14:textId="7185AA4E" w:rsidR="00D75A62" w:rsidRPr="00D75A62" w:rsidRDefault="007858E0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  <w:r w:rsidR="00D75A62">
              <w:rPr>
                <w:rFonts w:ascii="Calibri" w:eastAsia="Calibri" w:hAnsi="Calibri" w:cs="Calibri"/>
                <w:color w:val="000000" w:themeColor="text1"/>
              </w:rPr>
              <w:t xml:space="preserve"> vagas</w:t>
            </w:r>
          </w:p>
        </w:tc>
      </w:tr>
    </w:tbl>
    <w:p w14:paraId="2625F41A" w14:textId="5BCFC5EB" w:rsidR="009A5C21" w:rsidRPr="00D75A62" w:rsidRDefault="003C33AF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color w:val="000000" w:themeColor="text1"/>
        </w:rPr>
      </w:pPr>
      <w:r w:rsidRPr="00D75A62">
        <w:rPr>
          <w:rFonts w:ascii="Calibri" w:eastAsia="Calibri" w:hAnsi="Calibri" w:cs="Calibri"/>
          <w:color w:val="000000" w:themeColor="text1"/>
        </w:rPr>
        <w:t>* As cotas mínimas para pessoas negras (pretas ou pardas), pessoas indígenas e pessoas com deficiência seguem o previsto no Capítulo II da Instrução Normativa MinC nº 10, de 28 de dezembro de 2023, que dispõe sobre as regras e os procedimentos para implementação das ações afirmativas e medidas de acessibilidade de que trata o Decreto nº 11.740, de 18 de outubro de 2023, que regulamenta a Lei nº 14.399, de 08 de julho de 2022, a qual institui a Política Nacional Aldir Blanc de Fomento à Cultura.</w:t>
      </w:r>
    </w:p>
    <w:p w14:paraId="19124218" w14:textId="77777777" w:rsidR="009A5C21" w:rsidRDefault="009A5C21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color w:val="FF0000"/>
          <w:u w:val="single"/>
        </w:rPr>
      </w:pPr>
    </w:p>
    <w:p w14:paraId="24CE6D60" w14:textId="1E127FD6" w:rsidR="00B52876" w:rsidRDefault="00D75A62" w:rsidP="00B5287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3.</w:t>
      </w:r>
      <w:r w:rsidR="00B52876">
        <w:rPr>
          <w:rFonts w:ascii="Calibri" w:eastAsia="Calibri" w:hAnsi="Calibri" w:cs="Calibri"/>
          <w:sz w:val="24"/>
          <w:szCs w:val="24"/>
        </w:rPr>
        <w:t xml:space="preserve"> Este Edital prioriza o apoio à cultura de base comunitária para valorizar e fortalecer a cidadania e a diversidade cultural, de acordo com </w:t>
      </w:r>
      <w:r w:rsidR="00B52876">
        <w:rPr>
          <w:rFonts w:ascii="Calibri" w:eastAsia="Calibri" w:hAnsi="Calibri" w:cs="Calibri"/>
          <w:color w:val="FF0000"/>
          <w:sz w:val="24"/>
          <w:szCs w:val="24"/>
        </w:rPr>
        <w:t xml:space="preserve">as </w:t>
      </w:r>
      <w:r w:rsidR="00B52876" w:rsidRPr="00D75A6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categorias, as cotas, as pontuações extras e os critérios de seleção </w:t>
      </w:r>
      <w:r w:rsidR="00B52876">
        <w:rPr>
          <w:rFonts w:ascii="Calibri" w:eastAsia="Calibri" w:hAnsi="Calibri" w:cs="Calibri"/>
          <w:sz w:val="24"/>
          <w:szCs w:val="24"/>
        </w:rPr>
        <w:t>expressos neste processo seletivo.</w:t>
      </w:r>
    </w:p>
    <w:p w14:paraId="1E46B379" w14:textId="77777777" w:rsidR="00B52876" w:rsidRDefault="00B52876" w:rsidP="00B5287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1.4.1. Para priorizar a cultura de base comunitária, serão consideradas as seguintes ações: </w:t>
      </w:r>
    </w:p>
    <w:p w14:paraId="195FFA42" w14:textId="77777777" w:rsidR="00B52876" w:rsidRDefault="00B52876" w:rsidP="00B5287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240" w:after="240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a)</w:t>
      </w:r>
      <w:r>
        <w:rPr>
          <w:rFonts w:ascii="Calibri" w:eastAsia="Calibri" w:hAnsi="Calibri" w:cs="Calibri"/>
          <w:sz w:val="14"/>
          <w:szCs w:val="14"/>
        </w:rPr>
        <w:t xml:space="preserve">   </w:t>
      </w:r>
      <w:r>
        <w:rPr>
          <w:rFonts w:ascii="Calibri" w:eastAsia="Calibri" w:hAnsi="Calibri" w:cs="Calibri"/>
          <w:sz w:val="24"/>
          <w:szCs w:val="24"/>
        </w:rPr>
        <w:t>Serão atendidas as ações estruturantes da Política Nacional de Cultura Viva (art. 5º da Lei nº 13.018/2014)</w:t>
      </w:r>
      <w:r w:rsidRPr="00D75A6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: Intercâmbio e Residências Artístico-Culturais; Cultura, Comunicação e Mídia Livre; </w:t>
      </w:r>
      <w:r w:rsidRPr="00D75A62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 xml:space="preserve">      </w:t>
      </w:r>
      <w:r w:rsidRPr="00D75A62">
        <w:rPr>
          <w:rFonts w:ascii="Calibri" w:eastAsia="Calibri" w:hAnsi="Calibri" w:cs="Calibri"/>
          <w:color w:val="000000" w:themeColor="text1"/>
          <w:sz w:val="24"/>
          <w:szCs w:val="24"/>
        </w:rPr>
        <w:t>Cultura e Educação; Cultura e Saúde; Conhecimentos Tradicionais; Cultura Digital; Cultura e Direitos Humanos; Economia Criativa e Solidária; Livro, Leitura e Literatura; Memória e Patrimônio Cultural; Cultura e Meio Ambiente; Cultura e Juventude; Cultura, Infância e Adolescência; Agente Cultura Viva; Cultura Circense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. </w:t>
      </w:r>
    </w:p>
    <w:p w14:paraId="12106C87" w14:textId="4BC51B5E" w:rsidR="00B52876" w:rsidRDefault="00B52876" w:rsidP="00B5287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240" w:after="24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b)</w:t>
      </w:r>
      <w:r>
        <w:rPr>
          <w:rFonts w:ascii="Calibri" w:eastAsia="Calibri" w:hAnsi="Calibri" w:cs="Calibri"/>
          <w:sz w:val="14"/>
          <w:szCs w:val="14"/>
        </w:rPr>
        <w:t xml:space="preserve">  </w:t>
      </w:r>
      <w:r>
        <w:rPr>
          <w:rFonts w:ascii="Calibri" w:eastAsia="Calibri" w:hAnsi="Calibri" w:cs="Calibri"/>
          <w:sz w:val="24"/>
          <w:szCs w:val="24"/>
        </w:rPr>
        <w:t xml:space="preserve">Serão atendidas as outras ações estruturantes definidas para as políticas, ações e programas da Secretaria de Cidadania e Diversidade Cultural do Ministério da </w:t>
      </w:r>
      <w:r w:rsidRPr="00D75A62">
        <w:rPr>
          <w:rFonts w:ascii="Calibri" w:eastAsia="Calibri" w:hAnsi="Calibri" w:cs="Calibri"/>
          <w:color w:val="000000" w:themeColor="text1"/>
          <w:sz w:val="24"/>
          <w:szCs w:val="24"/>
        </w:rPr>
        <w:t>Cultura: Culturas indígenas; Culturas de Matriz Africana; Culturas Populares;</w:t>
      </w:r>
      <w:r w:rsidRPr="00D75A62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 xml:space="preserve"> </w:t>
      </w:r>
      <w:r w:rsidRPr="00D75A62">
        <w:rPr>
          <w:rFonts w:ascii="Calibri" w:eastAsia="Calibri" w:hAnsi="Calibri" w:cs="Calibri"/>
          <w:color w:val="000000" w:themeColor="text1"/>
          <w:sz w:val="24"/>
          <w:szCs w:val="24"/>
        </w:rPr>
        <w:t>Mestres e Mestras das Culturas Tradicionais e Populares;</w:t>
      </w:r>
      <w:r w:rsidRPr="00D75A62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 xml:space="preserve"> </w:t>
      </w:r>
      <w:r w:rsidRPr="00D75A62">
        <w:rPr>
          <w:rFonts w:ascii="Calibri" w:eastAsia="Calibri" w:hAnsi="Calibri" w:cs="Calibri"/>
          <w:color w:val="000000" w:themeColor="text1"/>
          <w:sz w:val="24"/>
          <w:szCs w:val="24"/>
        </w:rPr>
        <w:t>Cultura e Mulheres; Cultura Hip Hop; Linguagens Artísticas; Culturas Tradicionais;</w:t>
      </w:r>
      <w:r w:rsidRPr="00D75A62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 xml:space="preserve"> </w:t>
      </w:r>
      <w:r w:rsidRPr="00D75A62">
        <w:rPr>
          <w:rFonts w:ascii="Calibri" w:eastAsia="Calibri" w:hAnsi="Calibri" w:cs="Calibri"/>
          <w:color w:val="000000" w:themeColor="text1"/>
          <w:sz w:val="24"/>
          <w:szCs w:val="24"/>
        </w:rPr>
        <w:t>Gênero e Diversidade;</w:t>
      </w:r>
      <w:r w:rsidRPr="00D75A62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 xml:space="preserve"> </w:t>
      </w:r>
      <w:r w:rsidRPr="00D75A62">
        <w:rPr>
          <w:rFonts w:ascii="Calibri" w:eastAsia="Calibri" w:hAnsi="Calibri" w:cs="Calibri"/>
          <w:color w:val="000000" w:themeColor="text1"/>
          <w:sz w:val="24"/>
          <w:szCs w:val="24"/>
        </w:rPr>
        <w:t>Acessibilidade Cultural e Equidade; Cultura e Territórios Rurais;</w:t>
      </w:r>
      <w:r w:rsidRPr="00D75A62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 xml:space="preserve"> </w:t>
      </w:r>
      <w:r w:rsidRPr="00D75A62">
        <w:rPr>
          <w:rFonts w:ascii="Calibri" w:eastAsia="Calibri" w:hAnsi="Calibri" w:cs="Calibri"/>
          <w:color w:val="000000" w:themeColor="text1"/>
          <w:sz w:val="24"/>
          <w:szCs w:val="24"/>
        </w:rPr>
        <w:t>Cultura Alimentar; Cultura Urbana e Direito à Cidade;</w:t>
      </w:r>
      <w:r w:rsidRPr="00D75A62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 xml:space="preserve"> </w:t>
      </w:r>
      <w:r w:rsidRPr="00D75A62">
        <w:rPr>
          <w:rFonts w:ascii="Calibri" w:eastAsia="Calibri" w:hAnsi="Calibri" w:cs="Calibri"/>
          <w:color w:val="000000" w:themeColor="text1"/>
          <w:sz w:val="24"/>
          <w:szCs w:val="24"/>
        </w:rPr>
        <w:t>Cultura, Territórios de Fronteira e Integração Latino-americana.</w:t>
      </w:r>
    </w:p>
    <w:p w14:paraId="63B7B971" w14:textId="1A520B28" w:rsidR="00D75A62" w:rsidRDefault="00D75A62" w:rsidP="00B5287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240" w:after="24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882AE9C" w14:textId="77777777" w:rsidR="00D75A62" w:rsidRDefault="00D75A62" w:rsidP="00B5287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240" w:after="240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p w14:paraId="1B203383" w14:textId="28716F8A" w:rsidR="00B52876" w:rsidRDefault="00B52876" w:rsidP="00D75A6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240" w:after="240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c)</w:t>
      </w:r>
      <w:r>
        <w:rPr>
          <w:rFonts w:ascii="Calibri" w:eastAsia="Calibri" w:hAnsi="Calibri" w:cs="Calibri"/>
          <w:sz w:val="14"/>
          <w:szCs w:val="14"/>
        </w:rPr>
        <w:t xml:space="preserve">  </w:t>
      </w:r>
      <w:r>
        <w:rPr>
          <w:rFonts w:ascii="Calibri" w:eastAsia="Calibri" w:hAnsi="Calibri" w:cs="Calibri"/>
          <w:sz w:val="24"/>
          <w:szCs w:val="24"/>
        </w:rPr>
        <w:t xml:space="preserve">A desconcentração territorial e regionalização dos recursos ocorrerá nos seguintes territórios ou regiões de maior vulnerabilidade econômica ou social: </w:t>
      </w:r>
      <w:r w:rsidRPr="00D75A62">
        <w:rPr>
          <w:rFonts w:ascii="Calibri" w:eastAsia="Calibri" w:hAnsi="Calibri" w:cs="Calibri"/>
          <w:color w:val="000000" w:themeColor="text1"/>
          <w:sz w:val="24"/>
          <w:szCs w:val="24"/>
        </w:rPr>
        <w:t>Regiões periféricas; Regiões com menor Índice de Desenvolvimento Humano - IDH;</w:t>
      </w:r>
      <w:r w:rsidRPr="00D75A62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 xml:space="preserve"> </w:t>
      </w:r>
      <w:r w:rsidRPr="00D75A6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Regiões onde são localizados conjuntos e empreendimentos habitacionais, e programas habitacionais de interesse social, promovidos por programas do governo federal ou local; </w:t>
      </w:r>
      <w:r w:rsidRPr="00D75A62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 xml:space="preserve"> </w:t>
      </w:r>
      <w:r w:rsidRPr="00D75A62">
        <w:rPr>
          <w:rFonts w:ascii="Calibri" w:eastAsia="Calibri" w:hAnsi="Calibri" w:cs="Calibri"/>
          <w:color w:val="000000" w:themeColor="text1"/>
          <w:sz w:val="24"/>
          <w:szCs w:val="24"/>
        </w:rPr>
        <w:t>Assentamentos e acampamentos; Regiões com menor presença de espaços e equipamentos culturais públicos;</w:t>
      </w:r>
      <w:r w:rsidRPr="00D75A62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 xml:space="preserve"> </w:t>
      </w:r>
      <w:r w:rsidRPr="00D75A62">
        <w:rPr>
          <w:rFonts w:ascii="Calibri" w:eastAsia="Calibri" w:hAnsi="Calibri" w:cs="Calibri"/>
          <w:color w:val="000000" w:themeColor="text1"/>
          <w:sz w:val="24"/>
          <w:szCs w:val="24"/>
        </w:rPr>
        <w:t>Regiões com menor histórico de acesso aos recursos da política pública de cultura;</w:t>
      </w:r>
      <w:r w:rsidRPr="00D75A62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 xml:space="preserve"> </w:t>
      </w:r>
      <w:r w:rsidRPr="00D75A62">
        <w:rPr>
          <w:rFonts w:ascii="Calibri" w:eastAsia="Calibri" w:hAnsi="Calibri" w:cs="Calibri"/>
          <w:color w:val="000000" w:themeColor="text1"/>
          <w:sz w:val="24"/>
          <w:szCs w:val="24"/>
        </w:rPr>
        <w:t>Zonas especiais de interesse social; Áreas atingidas por desastres naturais;</w:t>
      </w:r>
      <w:r w:rsidRPr="00D75A62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 xml:space="preserve"> </w:t>
      </w:r>
      <w:r w:rsidRPr="00D75A62">
        <w:rPr>
          <w:rFonts w:ascii="Calibri" w:eastAsia="Calibri" w:hAnsi="Calibri" w:cs="Calibri"/>
          <w:color w:val="000000" w:themeColor="text1"/>
          <w:sz w:val="24"/>
          <w:szCs w:val="24"/>
        </w:rPr>
        <w:t>Territórios quilombolas;</w:t>
      </w:r>
      <w:r w:rsidRPr="00D75A62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 xml:space="preserve"> </w:t>
      </w:r>
      <w:r w:rsidRPr="00D75A62">
        <w:rPr>
          <w:rFonts w:ascii="Calibri" w:eastAsia="Calibri" w:hAnsi="Calibri" w:cs="Calibri"/>
          <w:color w:val="000000" w:themeColor="text1"/>
          <w:sz w:val="24"/>
          <w:szCs w:val="24"/>
        </w:rPr>
        <w:t>Territórios indígenas;</w:t>
      </w:r>
      <w:r w:rsidRPr="00D75A62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 xml:space="preserve"> </w:t>
      </w:r>
      <w:r w:rsidRPr="00D75A62">
        <w:rPr>
          <w:rFonts w:ascii="Calibri" w:eastAsia="Calibri" w:hAnsi="Calibri" w:cs="Calibri"/>
          <w:color w:val="000000" w:themeColor="text1"/>
          <w:sz w:val="24"/>
          <w:szCs w:val="24"/>
        </w:rPr>
        <w:t>Territórios rurais;</w:t>
      </w:r>
      <w:r w:rsidRPr="00D75A62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 xml:space="preserve"> </w:t>
      </w:r>
      <w:r w:rsidRPr="00D75A62">
        <w:rPr>
          <w:rFonts w:ascii="Calibri" w:eastAsia="Calibri" w:hAnsi="Calibri" w:cs="Calibri"/>
          <w:color w:val="000000" w:themeColor="text1"/>
          <w:sz w:val="24"/>
          <w:szCs w:val="24"/>
        </w:rPr>
        <w:t>Espaços comunitários de convivência, acolhimento e alimentação;</w:t>
      </w:r>
      <w:r w:rsidRPr="00D75A62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 xml:space="preserve"> </w:t>
      </w:r>
      <w:r w:rsidRPr="00D75A62">
        <w:rPr>
          <w:rFonts w:ascii="Calibri" w:eastAsia="Calibri" w:hAnsi="Calibri" w:cs="Calibri"/>
          <w:color w:val="000000" w:themeColor="text1"/>
          <w:sz w:val="24"/>
          <w:szCs w:val="24"/>
        </w:rPr>
        <w:t>Demais regiões que sejam habitadas por pessoas em situação de vulnerabilidade econômica ou social.</w:t>
      </w:r>
    </w:p>
    <w:p w14:paraId="37F36396" w14:textId="77777777" w:rsidR="009A5C21" w:rsidRDefault="009A5C21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sectPr w:rsidR="009A5C21">
      <w:headerReference w:type="default" r:id="rId11"/>
      <w:footerReference w:type="default" r:id="rId12"/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0CECE" w14:textId="77777777" w:rsidR="00863BBD" w:rsidRDefault="00863BBD">
      <w:pPr>
        <w:spacing w:line="240" w:lineRule="auto"/>
      </w:pPr>
      <w:r>
        <w:separator/>
      </w:r>
    </w:p>
  </w:endnote>
  <w:endnote w:type="continuationSeparator" w:id="0">
    <w:p w14:paraId="76545467" w14:textId="77777777" w:rsidR="00863BBD" w:rsidRDefault="00863B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FE1C05AD-A4B1-4924-B49E-BC69C9F8F96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E942FC4-5BE3-4B57-8D34-38326ED5BD0F}"/>
    <w:embedBold r:id="rId3" w:fontKey="{9A923997-34D1-4A56-A947-10F2539D9735}"/>
    <w:embedItalic r:id="rId4" w:fontKey="{48E68AF9-0E93-4936-B520-FAFB473C3F6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61344EA-4F0F-4350-864C-27DBF35078A9}"/>
    <w:embedBold r:id="rId6" w:fontKey="{771A6D13-2F42-4770-A1EF-E36F0C3D94A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D1CCC" w14:textId="6956A64C" w:rsidR="009A5C21" w:rsidRDefault="009A5C21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</w:p>
  <w:p w14:paraId="4776BBB0" w14:textId="42394171" w:rsidR="009A5C21" w:rsidRDefault="00D75A62">
    <w:r>
      <w:rPr>
        <w:noProof/>
      </w:rPr>
      <w:drawing>
        <wp:anchor distT="0" distB="0" distL="114300" distR="114300" simplePos="0" relativeHeight="251663360" behindDoc="1" locked="0" layoutInCell="1" allowOverlap="1" wp14:anchorId="7B489B49" wp14:editId="6DC90E18">
          <wp:simplePos x="0" y="0"/>
          <wp:positionH relativeFrom="column">
            <wp:posOffset>5458576</wp:posOffset>
          </wp:positionH>
          <wp:positionV relativeFrom="paragraph">
            <wp:posOffset>84455</wp:posOffset>
          </wp:positionV>
          <wp:extent cx="720090" cy="547370"/>
          <wp:effectExtent l="0" t="0" r="3810" b="5080"/>
          <wp:wrapTight wrapText="bothSides">
            <wp:wrapPolygon edited="0">
              <wp:start x="0" y="0"/>
              <wp:lineTo x="0" y="21049"/>
              <wp:lineTo x="21143" y="21049"/>
              <wp:lineTo x="21143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90" cy="547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B96DC45" wp14:editId="49633E6C">
          <wp:simplePos x="0" y="0"/>
          <wp:positionH relativeFrom="column">
            <wp:posOffset>3622040</wp:posOffset>
          </wp:positionH>
          <wp:positionV relativeFrom="paragraph">
            <wp:posOffset>157192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33AF">
      <w:t xml:space="preserve">                                                                                                                                                             </w:t>
    </w:r>
  </w:p>
  <w:p w14:paraId="310B3943" w14:textId="77BDBE22" w:rsidR="009A5C21" w:rsidRDefault="006C1DFC">
    <w:pPr>
      <w:ind w:left="-850"/>
    </w:pPr>
    <w:r>
      <w:t xml:space="preserve">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18FAC" w14:textId="77777777" w:rsidR="00863BBD" w:rsidRDefault="00863BBD">
      <w:pPr>
        <w:spacing w:line="240" w:lineRule="auto"/>
      </w:pPr>
      <w:r>
        <w:separator/>
      </w:r>
    </w:p>
  </w:footnote>
  <w:footnote w:type="continuationSeparator" w:id="0">
    <w:p w14:paraId="04DA3DED" w14:textId="77777777" w:rsidR="00863BBD" w:rsidRDefault="00863B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6D272" w14:textId="32753F18" w:rsidR="009A5C21" w:rsidRDefault="00D75A62">
    <w:pPr>
      <w:ind w:left="-992"/>
      <w:jc w:val="both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70256C1" wp14:editId="66063DB1">
          <wp:simplePos x="0" y="0"/>
          <wp:positionH relativeFrom="column">
            <wp:posOffset>2029691</wp:posOffset>
          </wp:positionH>
          <wp:positionV relativeFrom="paragraph">
            <wp:posOffset>-214457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120361"/>
    <w:multiLevelType w:val="multilevel"/>
    <w:tmpl w:val="B5B43D1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0617842"/>
    <w:multiLevelType w:val="multilevel"/>
    <w:tmpl w:val="7BF83B1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2026665950">
    <w:abstractNumId w:val="1"/>
  </w:num>
  <w:num w:numId="2" w16cid:durableId="1043866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C21"/>
    <w:rsid w:val="001576C8"/>
    <w:rsid w:val="00201101"/>
    <w:rsid w:val="002B2195"/>
    <w:rsid w:val="003C33AF"/>
    <w:rsid w:val="005A248B"/>
    <w:rsid w:val="006470E6"/>
    <w:rsid w:val="006C1DFC"/>
    <w:rsid w:val="00701790"/>
    <w:rsid w:val="00711690"/>
    <w:rsid w:val="007858E0"/>
    <w:rsid w:val="007F70C9"/>
    <w:rsid w:val="00862B83"/>
    <w:rsid w:val="00863BBD"/>
    <w:rsid w:val="009A5C21"/>
    <w:rsid w:val="00B52876"/>
    <w:rsid w:val="00CD0777"/>
    <w:rsid w:val="00D75A62"/>
    <w:rsid w:val="00D96257"/>
    <w:rsid w:val="00EB37FE"/>
    <w:rsid w:val="00ED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4304C"/>
  <w15:docId w15:val="{A908C3DB-DD8D-455C-AD53-48892F54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6C1DF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1DFC"/>
  </w:style>
  <w:style w:type="paragraph" w:styleId="Rodap">
    <w:name w:val="footer"/>
    <w:basedOn w:val="Normal"/>
    <w:link w:val="RodapChar"/>
    <w:uiPriority w:val="99"/>
    <w:unhideWhenUsed/>
    <w:rsid w:val="006C1DF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1DFC"/>
  </w:style>
  <w:style w:type="character" w:styleId="Refdecomentrio">
    <w:name w:val="annotation reference"/>
    <w:basedOn w:val="Fontepargpadro"/>
    <w:uiPriority w:val="99"/>
    <w:semiHidden/>
    <w:unhideWhenUsed/>
    <w:rsid w:val="007F70C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F70C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F70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F70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F70C9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F70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70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NFGqH8464HrVGSiIsS13iXcCBw==">CgMxLjAaHwoBMBIaChgICVIUChJ0YWJsZS5neGJhcXo5Ym4xczY4AHIhMTA4eHB1MlZ3ME80UzdsQ3lkdm96MkRwRlFBSnRFMEx1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F148493-67F1-4681-B027-49D7938C60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4057BA-89E3-42EC-BEFE-1AA589395C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AC0D21-D287-4DBC-BBAB-A2D34BA8E3B8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 riski</cp:lastModifiedBy>
  <cp:revision>10</cp:revision>
  <dcterms:created xsi:type="dcterms:W3CDTF">2026-07-06T10:59:00Z</dcterms:created>
  <dcterms:modified xsi:type="dcterms:W3CDTF">2026-11-03T18:25:00Z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